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7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27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27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ind w:left="709" w:right="709"/>
        <w:jc w:val="center"/>
        <w:widowControl w:val="off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закон Алтайского края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регистре муниципальных нормативных правовых актов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А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лтайского края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»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936"/>
        <w:ind w:firstLine="0"/>
        <w:jc w:val="center"/>
        <w:widowControl w:val="off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936"/>
        <w:ind w:firstLine="0"/>
        <w:jc w:val="center"/>
        <w:widowControl w:val="off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927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38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Внести в закон Алтайского края от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 июл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я 20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17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года №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-ЗС </w:t>
        <w:br/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 регистре муниципальных нормативных правовых актов Алтайского края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»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(Официальный интернет-портал правовой информации (www.pravo.gov.ru), </w:t>
        <w:br/>
        <w:t xml:space="preserve">5 июля 2017 года, 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июня 2019 года, 11 февраля 2020 года, 29 апреля 2022 года, 2 сентября 2022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года, 7 ноября 2023 года, 3 июля 2025 года)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следующие изменения: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статье 3: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пункт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части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 дополнить словами «, за исключением уставов муниципальных образований и актов о внесении изменений и дополнений в уставы муниципальных образований»;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 дополнить частью 3 следующего содержания: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«3. Не подлежат направлению для включения в Регистр муниципальные нормативные правовые акты, содержащие сведения, распространение которых ограничено федеральными законами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пункте 1 части 2 статьи 4 слово «экспертные» исключить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3) 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в статье 5: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а)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част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5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5.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Методика организации работы по ведению Регистра утверждается постановлением Правительства Алтайского края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дополнить частью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следующего содержания: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«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6. Предоставление сведений, содержащихся в Регистре, осуществляется в порядке, установленном федеральным законодательством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.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»;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4) в стать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 6: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а) 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част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ь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 1</w:t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Органы местного самоуправл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ения, должностные лица местного самоуправления в течение 15 рабочих дней со дня официального опубликования (обнародования) муниципального нормативного правового акта направляют в электронном виде в уполномоченный орган сведения, предусмотренные пунктами 1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–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3 части 1 статьи 4 настоящего Закона, обеспечивая их достоверность и полноту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б)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части 3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слово «экспертны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» исключить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color w:val="000000"/>
          <w:sz w:val="28"/>
          <w:szCs w:val="28"/>
        </w:rPr>
      </w:r>
      <w:r>
        <w:rPr>
          <w:rStyle w:val="938"/>
          <w:rFonts w:ascii="PT Astra Serif" w:hAnsi="PT Astra Serif" w:cs="PT Astra Serif"/>
          <w:b w:val="0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Style w:val="938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</w:t>
      </w:r>
      <w:r>
        <w:rPr>
          <w:rStyle w:val="938"/>
          <w:rFonts w:ascii="PT Astra Serif" w:hAnsi="PT Astra Serif" w:eastAsia="PT Astra Serif" w:cs="PT Astra Serif"/>
          <w:color w:val="000000"/>
          <w:sz w:val="28"/>
          <w:szCs w:val="28"/>
        </w:rPr>
        <w:t xml:space="preserve">2</w:t>
      </w:r>
      <w:r>
        <w:rPr>
          <w:rStyle w:val="938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27"/>
        <w:ind w:firstLine="709"/>
        <w:jc w:val="both"/>
        <w:rPr>
          <w:rStyle w:val="938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Style w:val="938"/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Настоящий Закон вступает в силу со дня его официального опубликования.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25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5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5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  <w:gridCol w:w="49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ru-RU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rStyle w:val="935"/>
      </w:rPr>
      <w:framePr w:wrap="around" w:vAnchor="text" w:hAnchor="margin" w:xAlign="right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</w:p>
  <w:p>
    <w:pPr>
      <w:pStyle w:val="740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09">
    <w:name w:val="Heading 2"/>
    <w:basedOn w:val="707"/>
    <w:next w:val="707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lang w:val="en-US" w:eastAsia="en-US"/>
    </w:rPr>
  </w:style>
  <w:style w:type="paragraph" w:styleId="710">
    <w:name w:val="Heading 3"/>
    <w:basedOn w:val="707"/>
    <w:next w:val="707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11">
    <w:name w:val="Heading 4"/>
    <w:basedOn w:val="707"/>
    <w:next w:val="707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12">
    <w:name w:val="Heading 5"/>
    <w:basedOn w:val="707"/>
    <w:next w:val="707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13">
    <w:name w:val="Heading 6"/>
    <w:basedOn w:val="707"/>
    <w:next w:val="707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14">
    <w:name w:val="Heading 7"/>
    <w:basedOn w:val="707"/>
    <w:next w:val="707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15">
    <w:name w:val="Heading 8"/>
    <w:basedOn w:val="707"/>
    <w:next w:val="707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16">
    <w:name w:val="Heading 9"/>
    <w:basedOn w:val="707"/>
    <w:next w:val="707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Title Char"/>
    <w:uiPriority w:val="10"/>
    <w:rPr>
      <w:sz w:val="48"/>
      <w:szCs w:val="48"/>
    </w:rPr>
  </w:style>
  <w:style w:type="character" w:styleId="72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7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rPr>
      <w:lang w:eastAsia="zh-CN"/>
    </w:rPr>
  </w:style>
  <w:style w:type="paragraph" w:styleId="732">
    <w:name w:val="Title"/>
    <w:basedOn w:val="707"/>
    <w:next w:val="70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Название Знак"/>
    <w:link w:val="732"/>
    <w:uiPriority w:val="10"/>
    <w:rPr>
      <w:sz w:val="48"/>
      <w:szCs w:val="48"/>
    </w:rPr>
  </w:style>
  <w:style w:type="paragraph" w:styleId="734">
    <w:name w:val="Subtitle"/>
    <w:basedOn w:val="707"/>
    <w:next w:val="707"/>
    <w:link w:val="792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35" w:customStyle="1">
    <w:name w:val="Subtitle Char"/>
    <w:uiPriority w:val="11"/>
    <w:rPr>
      <w:sz w:val="24"/>
      <w:szCs w:val="24"/>
    </w:rPr>
  </w:style>
  <w:style w:type="paragraph" w:styleId="736">
    <w:name w:val="Quote"/>
    <w:basedOn w:val="707"/>
    <w:next w:val="707"/>
    <w:link w:val="793"/>
    <w:uiPriority w:val="29"/>
    <w:qFormat/>
    <w:pPr>
      <w:ind w:left="720" w:right="720"/>
    </w:pPr>
    <w:rPr>
      <w:i/>
      <w:lang w:val="en-US" w:eastAsia="en-US"/>
    </w:rPr>
  </w:style>
  <w:style w:type="character" w:styleId="737" w:customStyle="1">
    <w:name w:val="Quote Char"/>
    <w:uiPriority w:val="29"/>
    <w:rPr>
      <w:i/>
    </w:rPr>
  </w:style>
  <w:style w:type="paragraph" w:styleId="738">
    <w:name w:val="Intense Quote"/>
    <w:basedOn w:val="707"/>
    <w:next w:val="707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39" w:customStyle="1">
    <w:name w:val="Intense Quote Char"/>
    <w:uiPriority w:val="30"/>
    <w:rPr>
      <w:i/>
    </w:rPr>
  </w:style>
  <w:style w:type="paragraph" w:styleId="740">
    <w:name w:val="Header"/>
    <w:basedOn w:val="707"/>
    <w:link w:val="93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41">
    <w:name w:val="Footer"/>
    <w:basedOn w:val="707"/>
    <w:link w:val="93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42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43">
    <w:name w:val="Table Grid"/>
    <w:basedOn w:val="718"/>
    <w:uiPriority w:val="99"/>
    <w:tblPr/>
  </w:style>
  <w:style w:type="table" w:styleId="74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63">
    <w:name w:val="Hyperlink"/>
    <w:uiPriority w:val="99"/>
    <w:rPr>
      <w:rFonts w:cs="Times New Roman"/>
      <w:color w:val="0000ff"/>
      <w:u w:val="single"/>
    </w:rPr>
  </w:style>
  <w:style w:type="paragraph" w:styleId="764">
    <w:name w:val="footnote text"/>
    <w:basedOn w:val="707"/>
    <w:link w:val="923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65" w:customStyle="1">
    <w:name w:val="Footnote Text Char"/>
    <w:uiPriority w:val="99"/>
    <w:rPr>
      <w:sz w:val="18"/>
    </w:rPr>
  </w:style>
  <w:style w:type="character" w:styleId="766">
    <w:name w:val="footnote reference"/>
    <w:uiPriority w:val="99"/>
    <w:unhideWhenUsed/>
    <w:rPr>
      <w:vertAlign w:val="superscript"/>
    </w:rPr>
  </w:style>
  <w:style w:type="paragraph" w:styleId="767">
    <w:name w:val="endnote text"/>
    <w:basedOn w:val="707"/>
    <w:link w:val="924"/>
    <w:uiPriority w:val="99"/>
    <w:semiHidden/>
    <w:unhideWhenUsed/>
    <w:rPr>
      <w:lang w:val="en-US" w:eastAsia="en-US"/>
    </w:rPr>
  </w:style>
  <w:style w:type="character" w:styleId="768" w:customStyle="1">
    <w:name w:val="Endnote Text Char"/>
    <w:uiPriority w:val="99"/>
    <w:rPr>
      <w:sz w:val="20"/>
    </w:rPr>
  </w:style>
  <w:style w:type="character" w:styleId="769">
    <w:name w:val="endnote reference"/>
    <w:uiPriority w:val="99"/>
    <w:semiHidden/>
    <w:unhideWhenUsed/>
    <w:rPr>
      <w:vertAlign w:val="superscript"/>
    </w:rPr>
  </w:style>
  <w:style w:type="paragraph" w:styleId="770">
    <w:name w:val="toc 1"/>
    <w:basedOn w:val="707"/>
    <w:next w:val="707"/>
    <w:uiPriority w:val="39"/>
    <w:unhideWhenUsed/>
    <w:pPr>
      <w:spacing w:after="57"/>
    </w:pPr>
  </w:style>
  <w:style w:type="paragraph" w:styleId="771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772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773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774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775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776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777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778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779">
    <w:name w:val="TOC Heading"/>
    <w:uiPriority w:val="39"/>
    <w:unhideWhenUsed/>
    <w:rPr>
      <w:lang w:eastAsia="zh-CN"/>
    </w:rPr>
  </w:style>
  <w:style w:type="paragraph" w:styleId="780">
    <w:name w:val="table of figures"/>
    <w:basedOn w:val="707"/>
    <w:next w:val="707"/>
    <w:uiPriority w:val="99"/>
    <w:unhideWhenUsed/>
  </w:style>
  <w:style w:type="character" w:styleId="781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link w:val="709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90" w:customStyle="1">
    <w:name w:val="Заголовок"/>
    <w:basedOn w:val="707"/>
    <w:next w:val="707"/>
    <w:link w:val="791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91" w:customStyle="1">
    <w:name w:val="Заголовок Знак"/>
    <w:link w:val="790"/>
    <w:uiPriority w:val="10"/>
    <w:rPr>
      <w:sz w:val="48"/>
      <w:szCs w:val="48"/>
    </w:rPr>
  </w:style>
  <w:style w:type="character" w:styleId="792" w:customStyle="1">
    <w:name w:val="Подзаголовок Знак"/>
    <w:link w:val="734"/>
    <w:uiPriority w:val="11"/>
    <w:rPr>
      <w:sz w:val="24"/>
      <w:szCs w:val="24"/>
    </w:rPr>
  </w:style>
  <w:style w:type="character" w:styleId="793" w:customStyle="1">
    <w:name w:val="Цитата 2 Знак"/>
    <w:link w:val="736"/>
    <w:uiPriority w:val="29"/>
    <w:rPr>
      <w:i/>
    </w:rPr>
  </w:style>
  <w:style w:type="character" w:styleId="794" w:customStyle="1">
    <w:name w:val="Выделенная цитата Знак"/>
    <w:link w:val="738"/>
    <w:uiPriority w:val="30"/>
    <w:rPr>
      <w:i/>
    </w:rPr>
  </w:style>
  <w:style w:type="character" w:styleId="795" w:customStyle="1">
    <w:name w:val="Header Char"/>
    <w:uiPriority w:val="99"/>
  </w:style>
  <w:style w:type="character" w:styleId="796" w:customStyle="1">
    <w:name w:val="Footer Char"/>
    <w:uiPriority w:val="99"/>
  </w:style>
  <w:style w:type="character" w:styleId="797" w:customStyle="1">
    <w:name w:val="Caption Char"/>
    <w:uiPriority w:val="99"/>
  </w:style>
  <w:style w:type="table" w:styleId="798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 простая 1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2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 простая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 простая 5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-сетк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Таблица-сетк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Таблица-сетка 4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Таблица-сетк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Таблица-сетк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Таблица-сетк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Список-таблиц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Список-таблиц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Список-таблица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Список-таблиц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Список-таблиц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Список-таблиц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3" w:customStyle="1">
    <w:name w:val="Текст сноски Знак"/>
    <w:link w:val="764"/>
    <w:uiPriority w:val="99"/>
    <w:rPr>
      <w:sz w:val="18"/>
    </w:rPr>
  </w:style>
  <w:style w:type="character" w:styleId="924" w:customStyle="1">
    <w:name w:val="Текст концевой сноски Знак"/>
    <w:link w:val="767"/>
    <w:uiPriority w:val="99"/>
    <w:rPr>
      <w:sz w:val="20"/>
    </w:rPr>
  </w:style>
  <w:style w:type="paragraph" w:styleId="92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6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27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28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29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30" w:customStyle="1">
    <w:name w:val="Знак"/>
    <w:basedOn w:val="70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31">
    <w:name w:val="Balloon Text"/>
    <w:basedOn w:val="707"/>
    <w:link w:val="932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2" w:customStyle="1">
    <w:name w:val="Текст выноски Знак"/>
    <w:link w:val="931"/>
    <w:uiPriority w:val="99"/>
    <w:semiHidden/>
    <w:rPr>
      <w:rFonts w:ascii="Tahoma" w:hAnsi="Tahoma" w:cs="Tahoma"/>
      <w:sz w:val="16"/>
      <w:szCs w:val="16"/>
    </w:rPr>
  </w:style>
  <w:style w:type="character" w:styleId="933" w:customStyle="1">
    <w:name w:val="Верхний колонтитул Знак"/>
    <w:link w:val="740"/>
    <w:uiPriority w:val="99"/>
    <w:rPr>
      <w:rFonts w:cs="Times New Roman"/>
      <w:sz w:val="20"/>
      <w:szCs w:val="20"/>
    </w:rPr>
  </w:style>
  <w:style w:type="character" w:styleId="934" w:customStyle="1">
    <w:name w:val="Нижний колонтитул Знак"/>
    <w:link w:val="741"/>
    <w:uiPriority w:val="99"/>
    <w:semiHidden/>
    <w:rPr>
      <w:rFonts w:cs="Times New Roman"/>
      <w:sz w:val="20"/>
      <w:szCs w:val="20"/>
    </w:rPr>
  </w:style>
  <w:style w:type="character" w:styleId="935">
    <w:name w:val="page number"/>
    <w:uiPriority w:val="99"/>
    <w:rPr>
      <w:rFonts w:cs="Times New Roman"/>
    </w:rPr>
  </w:style>
  <w:style w:type="paragraph" w:styleId="936">
    <w:name w:val="Body Text Indent 2"/>
    <w:basedOn w:val="707"/>
    <w:link w:val="937"/>
    <w:uiPriority w:val="99"/>
    <w:pPr>
      <w:ind w:firstLine="709"/>
      <w:jc w:val="both"/>
    </w:pPr>
    <w:rPr>
      <w:lang w:val="en-US" w:eastAsia="en-US"/>
    </w:rPr>
  </w:style>
  <w:style w:type="character" w:styleId="937" w:customStyle="1">
    <w:name w:val="Основной текст с отступом 2 Знак"/>
    <w:link w:val="936"/>
    <w:uiPriority w:val="99"/>
    <w:rPr>
      <w:rFonts w:cs="Times New Roman"/>
      <w:sz w:val="20"/>
      <w:szCs w:val="20"/>
    </w:rPr>
  </w:style>
  <w:style w:type="character" w:styleId="938" w:customStyle="1">
    <w:name w:val="docdata;docy;v5;2002;bqiaagaaeyqcaaagiaiaaap2baaabqqfaaaaaaaaaaaaaaaaaaaaaaaaaaaaaaaaaaaaaaaaaaaaaaaaaaaaaaaaaaaaaaaaaaaaaaaaaaaaaaaaaaaaaaaaaaaaaaaaaaaaaaaaaaaaaaaaaaaaaaaaaaaaaaaaaaaaaaaaaaaaaaaaaaaaaaaaaaaaaaaaaaaaaaaaaaaaaaaaaaaaaaaaaaaaaaaaaaaaaaaa"/>
  </w:style>
  <w:style w:type="paragraph" w:styleId="939" w:customStyle="1">
    <w:name w:val="3792;bqiaagaaeyqcaaagiaiaaap0cwaabqimaaaaaaaaaaaaaaaaaaaaaaaaaaaaaaaaaaaaaaaaaaaaaaaaaaaaaaaaaaaaaaaaaaaaaaaaaaaaaaaaaaaaaaaaaaaaaaaaaaaaaaaaaaaaaaaaaaaaaaaaaaaaaaaaaaaaaaaaaaaaaaaaaaaaaaaaaaaaaaaaaaaaaaaaaaaaaaaaaaaaaaaaaaaaaaaaaaaaaaaa"/>
    <w:basedOn w:val="707"/>
    <w:pPr>
      <w:spacing w:before="100" w:beforeAutospacing="1" w:after="100" w:afterAutospacing="1"/>
    </w:pPr>
    <w:rPr>
      <w:sz w:val="24"/>
      <w:szCs w:val="24"/>
    </w:rPr>
  </w:style>
  <w:style w:type="paragraph" w:styleId="940" w:customStyle="1">
    <w:name w:val="43958;bqiaagaaeyqcaaagiaiaaapaqaaabeioaaaaaaaaaaaaaaaaaaaaaaaaaaaaaaaaaaaaaaaaaaaaaaaaaaaaaaaaaaaaaaaaaaaaaaaaaaaaaaaaaaaaaaaaaaaaaaaaaaaaaaaaaaaaaaaaaaaaaaaaaaaaaaaaaaaaaaaaaaaaaaaaaaaaaaaaaaaaaaaaaaaaaaaaaaaaaaaaaaaaaaaaaaaaaaaaaaaaaaa"/>
    <w:basedOn w:val="707"/>
    <w:pPr>
      <w:spacing w:before="100" w:beforeAutospacing="1" w:after="100" w:afterAutospacing="1"/>
    </w:pPr>
    <w:rPr>
      <w:sz w:val="24"/>
      <w:szCs w:val="24"/>
    </w:rPr>
  </w:style>
  <w:style w:type="paragraph" w:styleId="941">
    <w:name w:val="Normal (Web)"/>
    <w:basedOn w:val="707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управление по труду и занятости населения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4</cp:revision>
  <dcterms:created xsi:type="dcterms:W3CDTF">2025-06-02T02:50:00Z</dcterms:created>
  <dcterms:modified xsi:type="dcterms:W3CDTF">2026-04-06T05:18:24Z</dcterms:modified>
  <cp:version>917504</cp:version>
</cp:coreProperties>
</file>